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淮南职业技术学院地面特殊工种录像设备、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人脸识别设备采购项目询价文件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一、项目概述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淮南职业技术学院现就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地面特殊工种录像设备、人脸识别设备采购项目</w:t>
      </w:r>
      <w:r>
        <w:rPr>
          <w:rFonts w:hint="eastAsia" w:ascii="仿宋" w:hAnsi="仿宋" w:eastAsia="仿宋" w:cs="仿宋"/>
          <w:sz w:val="32"/>
          <w:szCs w:val="32"/>
        </w:rPr>
        <w:t>公开询价，诚邀具备相关资质的供应商参与投标。本项目旨在为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学校九龙岗校区开展特种作业人员安全技术培训考核</w:t>
      </w:r>
      <w:r>
        <w:rPr>
          <w:rFonts w:hint="eastAsia" w:ascii="仿宋" w:hAnsi="仿宋" w:eastAsia="仿宋" w:cs="仿宋"/>
          <w:sz w:val="32"/>
          <w:szCs w:val="32"/>
        </w:rPr>
        <w:t>提供高质量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的录像设备、人脸识别设备相关服务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具有有效的营业执照(经营业务范围包含相关内容)。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2、业绩要求：供应商具有2022年1月1日以来(以合同签订时间为准)的监控、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录像、人脸识别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或智能化项目相关供货及安装业绩。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注:以响应文件中提供的合同和供货完成证明材料(如验收报告或合同甲方证明，加盖合同甲方公章)为评审依据，如上述材料无法体现评审要素的，需另附合同甲方出具的有效证明材料(加盖合同甲方公章)。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信誉要求:至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响应文件提交</w:t>
      </w:r>
      <w:r>
        <w:rPr>
          <w:rFonts w:hint="eastAsia" w:ascii="仿宋" w:hAnsi="仿宋" w:eastAsia="仿宋" w:cs="仿宋"/>
          <w:sz w:val="32"/>
          <w:szCs w:val="32"/>
        </w:rPr>
        <w:t>截止时间，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（含其不具有独立法人资格的分支机构）存在下列有效情形之一的，其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 w:cs="仿宋"/>
          <w:sz w:val="32"/>
          <w:szCs w:val="32"/>
        </w:rPr>
        <w:t>无效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）被市场监督部门列入严重违法失信企业名单；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）被人民法院列入失信被执行人名单的；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）被税务机关列入重大税收违法失信主体的。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单位负责人为同一人或者存在控股、管理关系的不同单位，不得同时参加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采购需求  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Toc144881041"/>
      <w:bookmarkStart w:id="1" w:name="_Toc145084042"/>
      <w:bookmarkStart w:id="2" w:name="_Toc14488781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1、采购需求前附表</w:t>
      </w:r>
      <w:bookmarkEnd w:id="0"/>
      <w:bookmarkEnd w:id="1"/>
      <w:bookmarkEnd w:id="2"/>
    </w:p>
    <w:tbl>
      <w:tblPr>
        <w:tblStyle w:val="5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062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条款名称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合同签订后，供货到采购人指定地点，安装完成调试并经采购人验收合格后付至合同价款的95%。剩余5%一年后无质量问题一次性返还。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供货及安装地点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淮南职业技术学院九龙岗校区指定地点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供货及安装期限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免费质保期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" w:name="_Toc144881042"/>
      <w:bookmarkStart w:id="4" w:name="_Toc144887811"/>
      <w:bookmarkStart w:id="5" w:name="_Toc14508404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2、货物需求</w:t>
      </w:r>
      <w:bookmarkEnd w:id="3"/>
      <w:bookmarkEnd w:id="4"/>
      <w:bookmarkEnd w:id="5"/>
    </w:p>
    <w:tbl>
      <w:tblPr>
        <w:tblStyle w:val="5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30"/>
        <w:gridCol w:w="4543"/>
        <w:gridCol w:w="873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5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品牌或规格或型号</w:t>
            </w:r>
          </w:p>
        </w:tc>
        <w:tc>
          <w:tcPr>
            <w:tcW w:w="8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枪型全彩摄像机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400万网络摄像机：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最高分辨率可达2560 × 1440 @25 fps，在该分辨率下可输出实时图像；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智能侦测：支持越界侦测，区域入侵侦测；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支持萤石平台接入；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支持背光补偿，强光抑制，3D数字降噪，120 dB宽动态适应不同视频环境；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1个内置麦克风：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支持白光/红外双补光，红外光最远可达50 m，白光最远可达30m,符合IP66防尘防水设计，可靠性高；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传感器类型：1/3" Progressive Scan 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最低照度：彩色：0.005 Lux @（F1.2，AGC ON），0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宽动态：120 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焦距&amp;视场角：2.8 mm，水平视场角：97°，垂直视场角：52.3°，对角线视场角：114.3°；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mm，水平视场角：78.8°，垂直视场角:40.5°，对角线视场角：93.9°；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mm，水平视场角：49.1°，垂直视场角：26.3°，对角线视场角：57.2°；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mm，水平视场角：37.5°，垂直视场角：20.7°，对角线视场角：43.3°；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mm，水平视场角：23.4°，垂直视场角：13.3°，对角线视场角：26.88°；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补光灯类型：默认白光，可切换红外补光；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补光距离：红外光最远可达50 m，白光最远可达30 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波长范围：850 nm；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防补光过曝：支持最大图像尺寸：2560 × 1440；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视频压缩标准：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主码流：H.265/H.264；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子码流：H.265/H.264/MJPEG；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音频：1个内置麦克风；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网络：1个RJ45 10 M/100 M自适应以太网口；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恢复出厂设置：支持客户端或浏览器恢复；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启动及工作温湿度：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 ℃~60 ℃，湿度小于95%（无凝结）；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供电方式：DC：12 V ± 25%，支持防反接保护；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PoE：802.3af，Class 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电流及功耗：DC：12 V，0.75 A，最大功耗：9.0 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PoE：802.3af，36 V~57 V，0.29 A~0.18 A，最大功耗：10.5 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电源接口类型：Ø5.5 mm圆口；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产品尺寸：186.6 × 92.7 × 87.6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包装尺寸：235 × 120 × 125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设备重量：560 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带包装重量：750 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防护：IP66 支持2路码流，主码流2560*1440@25fps，子码流640×480@25fps。（需提供公安部检验报告证明）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内置麦克风：最低照度彩色0.005lx。红外开启可识别距设备50m处的人体轮廓。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彩色模式下，当照度降低至一定值时，可自动开启补光灯补光，在白天夜晚均可输出彩色视频图像。同一静止场景相同图像质量下，设备在H.264或H.265编码方式时，开启智能编码功能和不开启智能编码相比，码率节约80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支持PoE供电。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外壳防护能力应符合IP67要求。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五类网线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室内网线 护套线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305m/箱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千兆电口≥8 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交换容量 16Gbps，包转发率11.9Mpps；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支持自动翻转、端口自动节能，电源防雷为 2kV/网络端口防雷为6kV，支持POE；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支持桌面式安装；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 DC12V/0.5A 电源适配器。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千兆电口≥5 个，支持POE；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支持自动翻转、端口自动节能，电源防雷为 2kV/网络端口防雷为6kV；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 DC12V/0.5A 电源适配器。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 2 个或以上 HDMI 接口、1个或以上 VGA 接口、1 个或以上CVBS 接口、 RJ45 千兆网络接口；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32路8盘位.支持音视频动态调整组合分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配功能，可将任一路音频与任一路视频组合成复合流编码。支持对切片回放片段进行目标检索、备份导出、开启关闭 POS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智能信息等操作。支持周界报警过滤功能，对IPC 上报的越界侦测报警和区域入侵报警进行去误报，在特定条件下，可去除由树叶、灯光、车辆、阴影以及小动物引起的误报支持最大接入带宽 384Mbps，最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大存储带宽 256Mbps，最大转发带宽 256Mbps。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硬盘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8T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室外防水箱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插排、水晶头等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施工费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PC终端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I5-32G-24寸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多功能录入仪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3.97英寸触摸显示屏，屏幕分辨率800*480；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采用200万双目摄像头，有照片视频防假功能；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支持人脸采集、指纹采集、卡片录入（IC/普通CPU/国密CPU卡/二三代身份证序列号）、身份证采集；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支持有线网络、无线WiFi、USB口通信；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支持在线采集，通过网络协议或USB口对接到平台，平台进行在线采集，采集信息实时上传；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工作电压：DC12V/1.5A (自带电源适配器）；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尺寸：122mm*125mm*138mm。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考勤明眸一体机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操作系统：嵌入式Linux操作系统；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屏幕参数： 7英寸触摸显示屏，屏幕比例9:16，屏幕分辨率600*1024；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摄像头参数：采用宽动态200万双目摄像头；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测温功能：集成热成像测温模组，测温距离在0.5m-1.5m之间，测温范围30℃-45℃，精度±0.5℃（无黑体）；支持身份认证（刷脸、刷卡等）+测温模式、仅测温模式；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认证方式：支持人脸、刷卡（IC卡、手机NFC卡、CPU卡序列号/内容、身份证卡序列号）、密码认证方式；可外接身份证、指纹、蓝牙、二维码等功能模块；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人脸验证：采用深度学习算法，支持单人或多人识别（最多5人同时认证）功能；支持照片、视频防假；1:N人脸验证速度≤0.2s，人脸验证准确率≥99%；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存储容量：本地支持100000人脸库、100000张卡，15万条事件记录；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硬件接口：LAN*1、RS485*1、Wiegand * 1(支持双向)、typeC类型USB接口*1、电锁*1、门磁*1、报警输入*2、报警输出*1、开门按钮*1、SD卡槽*1（最大支持512GB）、3.5mm音频输出接口*1；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通信方式：有线网络；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使用环境：室内使用、不防水；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安装方式：壁挂安装（标配挂板，适配86底盒）；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工作电压： DC12V~24V/2A（电源需另配）；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产品尺寸：247.7*110.5*24mm；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设备重量：净重0.56kg，毛重0.88kg。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功能介绍：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可视对讲：支持和云平台、客户端、室内机、管理机进行可视对讲；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支持配置一键呼叫室内机或管理机；支持副门口机或围墙机模式；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视频预览：支持管理中心远程视频预览，支持接入NVR设备，实现视频录像，编码格式H.264；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口罩检测：支持口罩检测模式，可配置提醒戴口罩模式、强制戴口罩模式，关联门禁控制；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识别界面可配：识别主界面的“呼叫”、“二维码”、“密码”的按键图标可分别配置是否显示；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认证结果显示可配：支持认证成功界面的“照片”、“姓名”、“工号”信息可配置是否显示；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认证结果语音自定义：集成文字转语音（TTS）和语音合成技术，认证成功和认证失败的语音可以分别配置4个时间段进行自定义播报，同时认证成功的语音可叠加播报姓名；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工作模式：支持广告模式、简洁模式、主题模式；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外接安全模块：支持通过RS485接入门控安全模块，防止主机被恶意破坏的情况下，门锁不被打开；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外接读卡器：支持通过RS485或韦根（W26/W34）接口外接1个读卡器，同时可实现单门反潜回功能；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读卡器模式：支持通过RS485或韦根（W26/W34）接入门禁控制器，作为读卡器模式使用；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门禁计划模板：支持255组计划模板管理，128个周计划，1024个假日计划；支持常开、常闭时段管理；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组合认证：刷卡+密码、刷卡+人脸、人脸+密码等组合认证方式；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多重认证：支持多个人员认证（人脸、刷卡等）通过后才开门；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报警功能：设备支持防拆报警、门被外力开起报警、胁迫卡和胁迫密码报警等；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事件上传：在线状态下将设备认证结果信息及联动抓拍照片实时上传给平台，支持断网续传功能，设备离线状态下产生事件在与平台连接后会重新上传；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单机使用：设备可进行本地管理，支持本地注册人脸、查询、设置、管理设备参数等；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WEB管理：支持Web端管理，可进行人员管理、参数配置、事件查询、系统维护等操作，含400张卡片。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K1T673系列尾插</w:t>
            </w:r>
          </w:p>
        </w:tc>
        <w:tc>
          <w:tcPr>
            <w:tcW w:w="4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模块功能：支持拓展指纹（1万指纹容量）识别、身份证内容识别、蓝牙开门功能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模块尺寸：110.5mm*71.7mm*23.7mm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物理接口：Type C*1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使用环境：室内室外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u w:val="none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注：本需求所述参数无论明示或暗示该参数为特定产品或品牌，均不是要求供应商必须提供该特定产品或品牌，仅作为对该项产品性能描述的举例说明。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6" w:name="_Toc144881043"/>
      <w:bookmarkStart w:id="7" w:name="_Toc145084044"/>
      <w:bookmarkStart w:id="8" w:name="_Toc14488781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四、报价要求</w:t>
      </w:r>
      <w:bookmarkEnd w:id="6"/>
      <w:bookmarkEnd w:id="7"/>
      <w:bookmarkEnd w:id="8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报价唯一，且不超过最高限价。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响应报价包括货物从设计制造、交货安装和售后服务的一切费用。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成交人售后服务响应时间：接到报障电话后24小时内抵达现场。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成交人软件须免费提供1年升级、维护服务及技术指导培训，能在一周内为客户解决实际技术问题；1年期满后仍需提供软件升级、维护及技术指导培训。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质保期内成交人提供的售后及服务，包含每次使用前的到场设备检测及使用后的维护服务。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质保期内成交人提供所投产品的备品、备件做到维护及时以保障教学。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供应商须提供产品出厂检验报告、第三方检测报告、产品合格证明、产品说明书等技术文件，所有提交的技术文件资料应齐全有效。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缺陷责任：供应商所供的产品应满足合同及响应文件规定的质量、规格和性能要求。如果产品的数量、质量或规格与合同不符，或证实产品存在缺陷，应由供应商对产品负责。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培训服务要求为满足采购人在日常管理、使用和</w:t>
      </w:r>
      <w:bookmarkStart w:id="9" w:name="_GoBack"/>
      <w:bookmarkEnd w:id="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维护方面的需求，本项目的建设内容均须进行必要的培训，以确保使用人员能够正常使用。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740"/>
        </w:tabs>
        <w:bidi w:val="0"/>
        <w:jc w:val="center"/>
        <w:rPr>
          <w:rFonts w:hint="eastAsia" w:ascii="仿宋_GB2312" w:hAnsi="仿宋_GB2312" w:eastAsia="仿宋_GB2312"/>
          <w:b/>
          <w:bCs/>
          <w:sz w:val="84"/>
          <w:lang w:eastAsia="zh-CN"/>
        </w:rPr>
      </w:pPr>
    </w:p>
    <w:p>
      <w:pPr>
        <w:tabs>
          <w:tab w:val="left" w:pos="7740"/>
        </w:tabs>
        <w:bidi w:val="0"/>
        <w:jc w:val="center"/>
        <w:rPr>
          <w:rFonts w:hint="eastAsia" w:ascii="仿宋_GB2312" w:hAnsi="仿宋_GB2312" w:eastAsia="仿宋_GB2312"/>
          <w:b/>
          <w:bCs/>
          <w:sz w:val="84"/>
          <w:lang w:eastAsia="zh-CN"/>
        </w:rPr>
      </w:pPr>
    </w:p>
    <w:p>
      <w:pPr>
        <w:tabs>
          <w:tab w:val="left" w:pos="7740"/>
        </w:tabs>
        <w:bidi w:val="0"/>
        <w:jc w:val="center"/>
        <w:rPr>
          <w:rFonts w:hint="eastAsia" w:ascii="仿宋_GB2312" w:hAnsi="仿宋_GB2312" w:eastAsia="仿宋_GB2312"/>
          <w:b/>
          <w:bCs/>
          <w:sz w:val="84"/>
          <w:lang w:eastAsia="zh-CN"/>
        </w:rPr>
      </w:pPr>
    </w:p>
    <w:p>
      <w:pPr>
        <w:tabs>
          <w:tab w:val="left" w:pos="7740"/>
        </w:tabs>
        <w:bidi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tabs>
          <w:tab w:val="left" w:pos="7740"/>
        </w:tabs>
        <w:bidi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pStyle w:val="2"/>
        <w:rPr>
          <w:rFonts w:hint="eastAsia"/>
        </w:rPr>
      </w:pPr>
    </w:p>
    <w:p>
      <w:pPr>
        <w:tabs>
          <w:tab w:val="left" w:pos="7740"/>
        </w:tabs>
        <w:bidi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tabs>
          <w:tab w:val="left" w:pos="7740"/>
        </w:tabs>
        <w:bidi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淮南职业技术学院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地面特殊工种录像设备、人脸识别设备采购</w:t>
      </w:r>
      <w:r>
        <w:rPr>
          <w:rFonts w:hint="eastAsia" w:ascii="方正小标宋简体" w:eastAsia="方正小标宋简体"/>
          <w:sz w:val="44"/>
          <w:szCs w:val="44"/>
        </w:rPr>
        <w:t>项目响应文件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</w:p>
    <w:p>
      <w:pPr>
        <w:tabs>
          <w:tab w:val="left" w:pos="7740"/>
        </w:tabs>
        <w:bidi w:val="0"/>
        <w:jc w:val="center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采购项目</w:t>
      </w:r>
      <w:r>
        <w:rPr>
          <w:rFonts w:ascii="仿宋_GB2312" w:hAnsi="仿宋_GB2312" w:eastAsia="仿宋_GB2312"/>
          <w:b/>
          <w:bCs/>
          <w:sz w:val="36"/>
          <w:szCs w:val="36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地面特殊工种录像设备、人脸识别设备采购</w:t>
      </w:r>
      <w:r>
        <w:rPr>
          <w:rFonts w:hint="eastAsia" w:ascii="仿宋" w:hAnsi="仿宋" w:eastAsia="仿宋" w:cs="仿宋"/>
          <w:sz w:val="30"/>
          <w:szCs w:val="30"/>
        </w:rPr>
        <w:t>项目</w:t>
      </w:r>
    </w:p>
    <w:p>
      <w:pPr>
        <w:bidi w:val="0"/>
        <w:spacing w:line="72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bidi w:val="0"/>
        <w:spacing w:line="720" w:lineRule="exact"/>
        <w:jc w:val="center"/>
        <w:rPr>
          <w:rFonts w:ascii="仿宋_GB2312" w:hAnsi="仿宋_GB2312" w:eastAsia="仿宋_GB2312"/>
          <w:sz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采购方式：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公开询价</w:t>
      </w:r>
      <w:r>
        <w:rPr>
          <w:rFonts w:ascii="仿宋_GB2312" w:hAnsi="仿宋_GB2312" w:eastAsia="仿宋_GB2312"/>
          <w:bCs/>
          <w:sz w:val="32"/>
          <w:szCs w:val="32"/>
        </w:rPr>
        <w:br w:type="textWrapping"/>
      </w:r>
    </w:p>
    <w:p>
      <w:pPr>
        <w:bidi w:val="0"/>
        <w:spacing w:line="700" w:lineRule="exact"/>
        <w:jc w:val="center"/>
        <w:rPr>
          <w:rFonts w:hint="eastAsia" w:ascii="仿宋" w:hAnsi="仿宋" w:eastAsia="仿宋" w:cs="仿宋"/>
          <w:sz w:val="36"/>
          <w:highlight w:val="none"/>
        </w:rPr>
      </w:pPr>
      <w:r>
        <w:rPr>
          <w:rFonts w:hint="eastAsia" w:ascii="仿宋_GB2312" w:hAnsi="仿宋_GB2312" w:eastAsia="仿宋_GB2312"/>
          <w:sz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</w:rPr>
        <w:t>供应商：                （公章）</w:t>
      </w:r>
    </w:p>
    <w:p>
      <w:pPr>
        <w:bidi w:val="0"/>
        <w:spacing w:line="700" w:lineRule="exact"/>
        <w:jc w:val="center"/>
        <w:rPr>
          <w:rFonts w:hint="eastAsia" w:ascii="仿宋" w:hAnsi="仿宋" w:eastAsia="仿宋" w:cs="仿宋"/>
          <w:sz w:val="36"/>
        </w:rPr>
      </w:pPr>
    </w:p>
    <w:p>
      <w:pPr>
        <w:bidi w:val="0"/>
        <w:spacing w:line="700" w:lineRule="exact"/>
        <w:ind w:firstLine="1800" w:firstLineChars="500"/>
        <w:jc w:val="both"/>
        <w:rPr>
          <w:rFonts w:hint="eastAsia" w:ascii="仿宋" w:hAnsi="仿宋" w:eastAsia="仿宋" w:cs="仿宋"/>
          <w:sz w:val="36"/>
          <w:highlight w:val="none"/>
        </w:rPr>
      </w:pPr>
      <w:r>
        <w:rPr>
          <w:rFonts w:hint="eastAsia" w:ascii="仿宋" w:hAnsi="仿宋" w:eastAsia="仿宋" w:cs="仿宋"/>
          <w:sz w:val="36"/>
        </w:rPr>
        <w:t>编制时间：</w:t>
      </w:r>
      <w:r>
        <w:rPr>
          <w:rFonts w:hint="eastAsia" w:ascii="仿宋" w:hAnsi="仿宋" w:eastAsia="仿宋" w:cs="仿宋"/>
          <w:sz w:val="36"/>
          <w:lang w:eastAsia="zh-CN"/>
        </w:rPr>
        <w:t>202</w:t>
      </w:r>
      <w:r>
        <w:rPr>
          <w:rFonts w:hint="eastAsia" w:ascii="仿宋" w:hAnsi="仿宋" w:eastAsia="仿宋" w:cs="仿宋"/>
          <w:sz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lang w:eastAsia="zh-CN"/>
        </w:rPr>
        <w:t>年</w:t>
      </w:r>
      <w:r>
        <w:rPr>
          <w:rFonts w:hint="eastAsia" w:ascii="仿宋" w:hAnsi="仿宋" w:eastAsia="仿宋" w:cs="仿宋"/>
          <w:sz w:val="36"/>
        </w:rPr>
        <w:t xml:space="preserve">  月  日</w:t>
      </w:r>
    </w:p>
    <w:p>
      <w:pPr>
        <w:tabs>
          <w:tab w:val="left" w:pos="2128"/>
        </w:tabs>
        <w:bidi w:val="0"/>
        <w:jc w:val="center"/>
        <w:rPr>
          <w:rFonts w:ascii="仿宋_GB2312" w:hAnsi="仿宋_GB2312" w:eastAsia="仿宋_GB2312"/>
          <w:b/>
          <w:bCs/>
          <w:sz w:val="28"/>
          <w:szCs w:val="28"/>
          <w:highlight w:val="none"/>
        </w:rPr>
      </w:pPr>
    </w:p>
    <w:p>
      <w:pPr>
        <w:bidi w:val="0"/>
        <w:rPr>
          <w:rFonts w:eastAsia="黑体"/>
          <w:sz w:val="44"/>
          <w:szCs w:val="44"/>
        </w:rPr>
      </w:pPr>
      <w:r>
        <w:br w:type="page"/>
      </w:r>
    </w:p>
    <w:p>
      <w:pPr>
        <w:tabs>
          <w:tab w:val="left" w:pos="7740"/>
        </w:tabs>
        <w:bidi w:val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营业执照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及法人授权材料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default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业绩证明材料</w:t>
      </w:r>
    </w:p>
    <w:p>
      <w:pPr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供应商无不良信用记录情形承诺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淮南职业学院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（采购人）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我公司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bidi="ar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（供应商）承诺无以下行为；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被市场监督部门列入严重违法失信企业名单；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被人民法院列入失信被执行人名单的；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被税务机关列入重大税收违法失信主体的。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法定代表人（单位负责人）或委托代理人（签字或盖章）：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供应商名称（公章）：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bidi="ar"/>
        </w:rPr>
        <w:t xml:space="preserve">              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0" w:firstLineChars="0"/>
        <w:jc w:val="both"/>
        <w:textAlignment w:val="auto"/>
        <w:outlineLvl w:val="2"/>
        <w:rPr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br w:type="page"/>
      </w:r>
    </w:p>
    <w:p>
      <w:pPr>
        <w:tabs>
          <w:tab w:val="left" w:pos="7740"/>
        </w:tabs>
        <w:bidi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报价明细表</w:t>
      </w:r>
    </w:p>
    <w:tbl>
      <w:tblPr>
        <w:tblStyle w:val="5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78"/>
        <w:gridCol w:w="4061"/>
        <w:gridCol w:w="873"/>
        <w:gridCol w:w="849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品牌或规格或型号</w:t>
            </w:r>
          </w:p>
        </w:tc>
        <w:tc>
          <w:tcPr>
            <w:tcW w:w="8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枪型全彩摄像机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400万网络摄像机：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最高分辨率可达2560 × 1440 @25 fps，在该分辨率下可输出实时图像；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智能侦测：支持越界侦测，区域入侵侦测；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支持萤石平台接入；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支持背光补偿，强光抑制，3D数字降噪，120 dB宽动态适应不同视频环境；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1个内置麦克风：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支持白光/红外双补光，红外光最远可达50 m，白光最远可达30m,符合IP66防尘防水设计，可靠性高；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传感器类型：1/3" Progressive Scan 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最低照度：彩色：0.005 Lux @（F1.2，AGC ON），0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宽动态：120 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焦距&amp;视场角：2.8 mm，水平视场角：97°，垂直视场角：52.3°，对角线视场角：114.3°；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mm，水平视场角：78.8°，垂直视场角:40.5°，对角线视场角：93.9°；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mm，水平视场角：49.1°，垂直视场角：26.3°，对角线视场角：57.2°；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mm，水平视场角：37.5°，垂直视场角：20.7°，对角线视场角：43.3°；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mm，水平视场角：23.4°，垂直视场角：13.3°，对角线视场角：26.88°；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补光灯类型：默认白光，可切换红外补光；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补光距离：红外光最远可达50 m，白光最远可达30 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波长范围：850 nm；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防补光过曝：支持最大图像尺寸：2560 × 1440；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视频压缩标准：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主码流：H.265/H.264；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子码流：H.265/H.264/MJPEG；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音频：1个内置麦克风；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网络：1个RJ45 10 M/100 M自适应以太网口；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恢复出厂设置：支持客户端或浏览器恢复；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启动及工作温湿度：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 ℃~60 ℃，湿度小于95%（无凝结）；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供电方式：DC：12 V ± 25%，支持防反接保护；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PoE：802.3af，Class 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电流及功耗：DC：12 V，0.75 A，最大功耗：9.0 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PoE：802.3af，36 V~57 V，0.29 A~0.18 A，最大功耗：10.5 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电源接口类型：Ø5.5 mm圆口；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产品尺寸：186.6 × 92.7 × 87.6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包装尺寸：235 × 120 × 125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设备重量：560 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带包装重量：750 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防护：IP66 支持2路码流，主码流2560*1440@25fps，子码流640×480@25fps。（供货提供公安部检验报告证明）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内置麦克风：最低照度彩色0.005lx。红外开启可识别距设备50m处的人体轮廓。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彩色模式下，当照度降低至一定值时，可自动开启补光灯补光，在白天夜晚均可输出彩色视频图像。同一静止场景相同图像质量下，设备在H.264或H.265编码方式时，开启智能编码功能和不开启智能编码相比，码率节约80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支持PoE供电。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外壳防护能力应符合IP67要求。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五类网线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室内网线 护套线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305m/箱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千兆电口≥8 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交换容量 16Gbps，包转发率11.9Mpps；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支持自动翻转、端口自动节能，电源防雷为 2kV/网络端口防雷为6kV，支持POE；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支持桌面式安装；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 DC12V/0.5A 电源适配器。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千兆电口≥5 个，支持POE；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支持自动翻转、端口自动节能，电源防雷为 2kV/网络端口防雷为6kV；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 DC12V/0.5A 电源适配器。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 2 个或以上 HDMI 接口、1个或以上 VGA 接口、1 个或以上CVBS 接口、 RJ45 千兆网络接口；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32路8盘位.支持音视频动态调整组合分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配功能，可将任一路音频与任一路视频组合成复合流编码。支持对切片回放片段进行目标检索、备份导出、开启关闭 POS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智能信息等操作。支持周界报警过滤功能，对IPC 上报的越界侦测报警和区域入侵报警进行去误报，在特定条件下，可去除由树叶、灯光、车辆、阴影以及小动物引起的误报支持最大接入带宽 384Mbps，最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大存储带宽 256Mbps，最大转发带宽 256Mbps。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硬盘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8T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室外防水箱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插排、水晶头等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施工费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优质定制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PC终端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I5-32G-24寸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多功能录入仪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3.97英寸触摸显示屏，屏幕分辨率800*480；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采用200万双目摄像头，有照片视频防假功能；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支持人脸采集、指纹采集、卡片录入（IC/普通CPU/国密CPU卡/二三代身份证序列号）、身份证采集；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支持有线网络、无线WiFi、USB口通信；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支持在线采集，通过网络协议或USB口对接到平台，平台进行在线采集，采集信息实时上传；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工作电压：DC12V/1.5A (自带电源适配器）；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尺寸：122mm*125mm*138mm。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考勤明眸一体机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操作系统：嵌入式Linux操作系统；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屏幕参数： 7英寸触摸显示屏，屏幕比例9:16，屏幕分辨率600*1024；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摄像头参数：采用宽动态200万双目摄像头；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测温功能：集成热成像测温模组，测温距离在0.5m-1.5m之间，测温范围30℃-45℃，精度±0.5℃（无黑体）；支持身份认证（刷脸、刷卡等）+测温模式、仅测温模式；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认证方式：支持人脸、刷卡（IC卡、手机NFC卡、CPU卡序列号/内容、身份证卡序列号）、密码认证方式；可外接身份证、指纹、蓝牙、二维码等功能模块；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人脸验证：采用深度学习算法，支持单人或多人识别（最多5人同时认证）功能；支持照片、视频防假；1:N人脸验证速度≤0.2s，人脸验证准确率≥99%；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存储容量：本地支持100000人脸库、100000张卡，15万条事件记录；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硬件接口：LAN*1、RS485*1、Wiegand * 1(支持双向)、typeC类型USB接口*1、电锁*1、门磁*1、报警输入*2、报警输出*1、开门按钮*1、SD卡槽*1（最大支持512GB）、3.5mm音频输出接口*1；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通信方式：有线网络；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使用环境：室内使用、不防水；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安装方式：壁挂安装（标配挂板，适配86底盒）；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工作电压： DC12V~24V/2A（电源需另配）；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产品尺寸：247.7*110.5*24mm；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设备重量：净重0.56kg，毛重0.88kg。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功能介绍：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可视对讲：支持和云平台、客户端、室内机、管理机进行可视对讲；支持配置一键呼叫室内机或管理机；支持副门口机或围墙机模式；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视频预览：支持管理中心远程视频预览，支持接入NVR设备，实现视频录像，编码格式H.264；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口罩检测：支持口罩检测模式，可配置提醒戴口罩模式、强制戴口罩模式，关联门禁控制；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识别界面可配：识别主界面的“呼叫”、“二维码”、“密码”的按键图标可分别配置是否显示；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认证结果显示可配：支持认证成功界面的“照片”、“姓名”、“工号”信息可配置是否显示；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认证结果语音自定义：集成文字转语音（TTS）和语音合成技术，认证成功和认证失败的语音可以分别配置4个时间段进行自定义播报，同时认证成功的语音可叠加播报姓名；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工作模式：支持广告模式、简洁模式、主题模式；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外接安全模块：支持通过RS485接入门控安全模块，防止主机被恶意破坏的情况下，门锁不被打开；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外接读卡器：支持通过RS485或韦根（W26/W34）接口外接1个读卡器，同时可实现单门反潜回功能；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读卡器模式：支持通过RS485或韦根（W26/W34）接入门禁控制器，作为读卡器模式使用；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门禁计划模板：支持255组计划模板管理，128个周计划，1024个假日计划；支持常开、常闭时段管理；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组合认证：刷卡+密码、刷卡+人脸、人脸+密码等组合认证方式；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多重认证：支持多个人员认证（人脸、刷卡等）通过后才开门；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报警功能：设备支持防拆报警、门被外力开起报警、胁迫卡和胁迫密码报警等；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事件上传：在线状态下将设备认证结果信息及联动抓拍照片实时上传给平台，支持断网续传功能，设备离线状态下产生事件在与平台连接后会重新上传；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单机使用：设备可进行本地管理，支持本地注册人脸、查询、设置、管理设备参数等；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WEB管理：支持Web端管理，可进行人员管理、参数配置、事件查询、系统维护等操作，含400张卡片。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K1T673系列尾插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模块功能：支持拓展指纹（1万指纹容量）识别、身份证内容识别、蓝牙开门功能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模块尺寸：110.5mm*71.7mm*23.7mm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物理接口：Type C*1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使用环境：室内室外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4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元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报价范围：供应商的报价应当包括满足全部采购需求所应提供的货物，以及伴随的服务和工程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所有内容均应以人民币报价。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报价联系人：                          电话：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报价单位公章：                        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1008E5-0708-420F-8BD2-BB9F7E4370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94F3AE-C257-4624-8775-BB6FA05BA6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5B33EDC-B858-44D5-9783-30A6EADBA2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117D64-4AE3-4CA7-926D-8C3179731A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F176325-3729-4E3D-AD59-262D66C159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A1E51"/>
    <w:multiLevelType w:val="singleLevel"/>
    <w:tmpl w:val="637A1E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DQ0ZGZjNzc2YjMxYmU2OWYzZTA0YmZlNTNkZGMifQ=="/>
  </w:docVars>
  <w:rsids>
    <w:rsidRoot w:val="00000000"/>
    <w:rsid w:val="02FA25DD"/>
    <w:rsid w:val="0AC0160E"/>
    <w:rsid w:val="0E5D49E4"/>
    <w:rsid w:val="23410D78"/>
    <w:rsid w:val="33633703"/>
    <w:rsid w:val="3C990195"/>
    <w:rsid w:val="3ECC295E"/>
    <w:rsid w:val="403351E8"/>
    <w:rsid w:val="461A145E"/>
    <w:rsid w:val="46C140A0"/>
    <w:rsid w:val="4B831676"/>
    <w:rsid w:val="4EAA4484"/>
    <w:rsid w:val="53133B45"/>
    <w:rsid w:val="56EF6ED8"/>
    <w:rsid w:val="59294788"/>
    <w:rsid w:val="5A582FE6"/>
    <w:rsid w:val="6383418E"/>
    <w:rsid w:val="65C15EE3"/>
    <w:rsid w:val="697C5518"/>
    <w:rsid w:val="780505F7"/>
    <w:rsid w:val="7C2B1EB0"/>
    <w:rsid w:val="7DDA7A17"/>
    <w:rsid w:val="7E8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1"/>
    <w:autoRedefine/>
    <w:qFormat/>
    <w:uiPriority w:val="0"/>
    <w:pPr>
      <w:ind w:left="720"/>
      <w:contextualSpacing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autoRedefine/>
    <w:qFormat/>
    <w:uiPriority w:val="0"/>
    <w:pPr>
      <w:spacing w:after="120"/>
      <w:jc w:val="left"/>
    </w:pPr>
    <w:rPr>
      <w:rFonts w:ascii="Calibri" w:hAnsi="Calibri" w:eastAsia="Calibri" w:cs="Times New Roman"/>
      <w:kern w:val="0"/>
      <w:sz w:val="22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6884</Words>
  <Characters>8210</Characters>
  <Lines>0</Lines>
  <Paragraphs>0</Paragraphs>
  <TotalTime>25</TotalTime>
  <ScaleCrop>false</ScaleCrop>
  <LinksUpToDate>false</LinksUpToDate>
  <CharactersWithSpaces>8554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2025-03-17T01:42:00Z</dcterms:created>
  <dc:creator>Administrator</dc:creator>
  <cp:lastModifiedBy>戴文涛</cp:lastModifiedBy>
  <dcterms:modified xsi:type="dcterms:W3CDTF">2025-03-26T07:05:59Z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eyJoZGlkIjoiZDM1ZTRlOGZjY2Y0MDY5MDU0MGJhOTcxMzkwZmY5M2UiLCJ1c2VySWQiOiIxMzc0NjQ4ODA3In0=</vt:lpwstr>
  </property>
  <property fmtid="{D5CDD505-2E9C-101B-9397-08002B2CF9AE}" pid="4" name="ICV">
    <vt:lpwstr>8708CC22767C40D49D191B2AA2E1ADBC_13</vt:lpwstr>
  </property>
</Properties>
</file>